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6E3523" w:rsidTr="00F93921">
        <w:tc>
          <w:tcPr>
            <w:tcW w:w="4774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2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217A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217A3A">
        <w:rPr>
          <w:rStyle w:val="tlid-translation"/>
          <w:sz w:val="24"/>
          <w:szCs w:val="24"/>
          <w:lang w:val="ru-RU"/>
        </w:rPr>
        <w:t>Тунис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DA323F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3E46F1" w:rsidRPr="008A060A" w:rsidRDefault="00CF783E" w:rsidP="00CC2C58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212121"/>
          <w:sz w:val="24"/>
          <w:szCs w:val="24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217A3A">
        <w:rPr>
          <w:rStyle w:val="tlid-translation"/>
          <w:b/>
          <w:sz w:val="24"/>
          <w:szCs w:val="24"/>
          <w:lang w:val="ru-RU"/>
        </w:rPr>
        <w:t>Тунис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217A3A" w:rsidRPr="006169C3" w:rsidRDefault="00217A3A" w:rsidP="00056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056C1B">
        <w:rPr>
          <w:rFonts w:eastAsia="Times New Roman" w:cstheme="minorHAnsi"/>
          <w:i/>
          <w:color w:val="212121"/>
          <w:sz w:val="24"/>
          <w:szCs w:val="24"/>
        </w:rPr>
        <w:t> 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достъп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качествено, приобщаващо и равнопоставено образование; </w:t>
      </w:r>
    </w:p>
    <w:p w:rsidR="001D4F9E" w:rsidRPr="008A060A" w:rsidRDefault="00217A3A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056C1B">
        <w:rPr>
          <w:rFonts w:eastAsia="Times New Roman" w:cstheme="minorHAnsi"/>
          <w:color w:val="212121"/>
          <w:sz w:val="24"/>
          <w:szCs w:val="24"/>
        </w:rPr>
        <w:t> 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Подкрепа за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осигуряване на универсално здравно покритие и достъп до качествени здравни услуги, включително чрез подобряване на здравната инфраструктура и осигуряване на специализирано медицинско оборудване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A1059" w:rsidRPr="008A060A" w:rsidRDefault="00B93894" w:rsidP="008A060A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991C59" w:rsidRPr="00D14ECC" w:rsidRDefault="00991C59" w:rsidP="0099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Ремонт, реконструкция или оборудване на държавна или общинска образователна или здравна инфраструктура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Pr="00617B45">
        <w:rPr>
          <w:rFonts w:eastAsia="Times New Roman" w:cstheme="minorHAnsi"/>
          <w:iCs/>
          <w:color w:val="212121"/>
          <w:sz w:val="24"/>
          <w:szCs w:val="24"/>
          <w:lang w:val="bg-BG"/>
        </w:rPr>
        <w:t>(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принос към целите за устойчиво развитие – качествено образование, добро здраве и благополучие</w:t>
      </w:r>
      <w:r w:rsidRPr="00617B45">
        <w:rPr>
          <w:rFonts w:eastAsia="Times New Roman" w:cstheme="minorHAnsi"/>
          <w:iCs/>
          <w:color w:val="212121"/>
          <w:sz w:val="24"/>
          <w:szCs w:val="24"/>
          <w:lang w:val="bg-BG"/>
        </w:rPr>
        <w:t>)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:rsidR="001D4F9E" w:rsidRPr="00331EE8" w:rsidRDefault="007314D5" w:rsidP="00331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Организиране на курсове за 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студенти и 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>повишаване квалификацията на служителите на</w:t>
      </w:r>
      <w:r w:rsidRPr="00B007F7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държавната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и 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>местна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та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администрация</w:t>
      </w:r>
      <w:r w:rsidRPr="00D023B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(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принос към целите за устойчиво развитие – качествено образование, достоен труд и икономически растеж, и равнопоставеност на половете</w:t>
      </w:r>
      <w:r w:rsidRPr="004D17D9">
        <w:rPr>
          <w:rFonts w:eastAsia="Times New Roman" w:cstheme="minorHAnsi"/>
          <w:iCs/>
          <w:color w:val="212121"/>
          <w:sz w:val="24"/>
          <w:szCs w:val="24"/>
          <w:lang w:val="bg-BG"/>
        </w:rPr>
        <w:t>)</w:t>
      </w:r>
      <w:r w:rsidR="00331EE8">
        <w:rPr>
          <w:rFonts w:eastAsia="Times New Roman" w:cstheme="minorHAnsi"/>
          <w:iCs/>
          <w:color w:val="212121"/>
          <w:sz w:val="24"/>
          <w:szCs w:val="24"/>
          <w:lang w:val="bg-BG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7E0B5C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991C59" w:rsidRPr="00B007F7" w:rsidRDefault="00991C59" w:rsidP="007E0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ученици и студенти (включително </w:t>
      </w:r>
      <w:r w:rsidR="00FE2089">
        <w:rPr>
          <w:rFonts w:eastAsia="Times New Roman" w:cstheme="minorHAnsi"/>
          <w:iCs/>
          <w:color w:val="212121"/>
          <w:sz w:val="24"/>
          <w:szCs w:val="24"/>
          <w:lang w:val="bg-BG"/>
        </w:rPr>
        <w:t>уязвими групи,</w:t>
      </w:r>
      <w:r w:rsidR="00FE2089"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>лица със специални потребности</w:t>
      </w:r>
      <w:r w:rsidR="00FE2089" w:rsidRPr="00FE2089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>и</w:t>
      </w:r>
      <w:r w:rsidR="00FE2089">
        <w:rPr>
          <w:rFonts w:eastAsia="Times New Roman" w:cstheme="minorHAnsi"/>
          <w:iCs/>
          <w:color w:val="212121"/>
          <w:sz w:val="24"/>
          <w:szCs w:val="24"/>
          <w:lang w:val="ru-RU"/>
        </w:rPr>
        <w:t>ли</w:t>
      </w: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в неравностойно положение</w:t>
      </w:r>
      <w:r w:rsidR="006E455A" w:rsidRPr="006E455A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, </w:t>
      </w:r>
      <w:proofErr w:type="spellStart"/>
      <w:r w:rsidR="006E455A">
        <w:rPr>
          <w:rFonts w:eastAsia="Times New Roman" w:cstheme="minorHAnsi"/>
          <w:iCs/>
          <w:color w:val="212121"/>
          <w:sz w:val="24"/>
          <w:szCs w:val="24"/>
          <w:lang w:val="bg-BG"/>
        </w:rPr>
        <w:t>маргинализирани</w:t>
      </w:r>
      <w:proofErr w:type="spellEnd"/>
      <w:r w:rsidR="006E455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общности</w:t>
      </w: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>);</w:t>
      </w: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br/>
        <w:t>- преподаватели и административен персонал на училища и университети;</w:t>
      </w:r>
    </w:p>
    <w:p w:rsidR="00991C59" w:rsidRPr="00B007F7" w:rsidRDefault="00991C59" w:rsidP="007E0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лекари и служители в лечебни заведения; </w:t>
      </w:r>
    </w:p>
    <w:p w:rsidR="00991C59" w:rsidRPr="00B007F7" w:rsidRDefault="00991C59" w:rsidP="007E0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>- служители на дъ</w:t>
      </w:r>
      <w:r w:rsidR="007E0B5C">
        <w:rPr>
          <w:rFonts w:eastAsia="Times New Roman" w:cstheme="minorHAnsi"/>
          <w:iCs/>
          <w:color w:val="212121"/>
          <w:sz w:val="24"/>
          <w:szCs w:val="24"/>
          <w:lang w:val="ru-RU"/>
        </w:rPr>
        <w:t>ржавната и местна администрация.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8E5D52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991C59" w:rsidRPr="00A76170" w:rsidRDefault="00991C59" w:rsidP="008E5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sz w:val="24"/>
          <w:szCs w:val="24"/>
          <w:lang w:val="bg-BG"/>
        </w:rPr>
        <w:t>-</w:t>
      </w:r>
      <w:r>
        <w:rPr>
          <w:rFonts w:eastAsia="Times New Roman" w:cstheme="minorHAnsi"/>
          <w:sz w:val="24"/>
          <w:szCs w:val="24"/>
          <w:lang w:val="bg-BG"/>
        </w:rPr>
        <w:t> 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утвърждаване на </w:t>
      </w:r>
      <w:r>
        <w:rPr>
          <w:rFonts w:eastAsia="Times New Roman" w:cstheme="minorHAnsi"/>
          <w:iCs/>
          <w:sz w:val="24"/>
          <w:szCs w:val="24"/>
          <w:lang w:val="ru-RU"/>
        </w:rPr>
        <w:t>позитивния международен имидж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 на България</w:t>
      </w:r>
      <w:r w:rsidRPr="00B604E6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Cs/>
          <w:sz w:val="24"/>
          <w:szCs w:val="24"/>
          <w:lang w:val="bg-BG"/>
        </w:rPr>
        <w:t>като страна-донор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; </w:t>
      </w:r>
    </w:p>
    <w:p w:rsidR="00991C59" w:rsidRDefault="00991C59" w:rsidP="008E5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iCs/>
          <w:sz w:val="24"/>
          <w:szCs w:val="24"/>
          <w:lang w:val="ru-RU"/>
        </w:rPr>
        <w:t>-</w:t>
      </w:r>
      <w:r>
        <w:rPr>
          <w:rFonts w:eastAsia="Times New Roman" w:cstheme="minorHAnsi"/>
          <w:sz w:val="24"/>
          <w:szCs w:val="24"/>
          <w:lang w:val="bg-BG"/>
        </w:rPr>
        <w:t> </w:t>
      </w:r>
      <w:r>
        <w:rPr>
          <w:rFonts w:eastAsia="Times New Roman" w:cstheme="minorHAnsi"/>
          <w:iCs/>
          <w:sz w:val="24"/>
          <w:szCs w:val="24"/>
          <w:lang w:val="ru-RU"/>
        </w:rPr>
        <w:t xml:space="preserve">осигуряване на приобщаващо, равнопоставено и 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>качеств</w:t>
      </w:r>
      <w:r>
        <w:rPr>
          <w:rFonts w:eastAsia="Times New Roman" w:cstheme="minorHAnsi"/>
          <w:iCs/>
          <w:sz w:val="24"/>
          <w:szCs w:val="24"/>
          <w:lang w:val="ru-RU"/>
        </w:rPr>
        <w:t xml:space="preserve">ено образование; </w:t>
      </w:r>
    </w:p>
    <w:p w:rsidR="00991C59" w:rsidRPr="00A76170" w:rsidRDefault="00991C59" w:rsidP="008E5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>
        <w:rPr>
          <w:rFonts w:eastAsia="Times New Roman" w:cstheme="minorHAnsi"/>
          <w:iCs/>
          <w:sz w:val="24"/>
          <w:szCs w:val="24"/>
          <w:lang w:val="ru-RU"/>
        </w:rPr>
        <w:lastRenderedPageBreak/>
        <w:t>-</w:t>
      </w:r>
      <w:r>
        <w:rPr>
          <w:rFonts w:eastAsia="Times New Roman" w:cstheme="minorHAnsi"/>
          <w:sz w:val="24"/>
          <w:szCs w:val="24"/>
          <w:lang w:val="bg-BG"/>
        </w:rPr>
        <w:t> </w:t>
      </w:r>
      <w:r>
        <w:rPr>
          <w:rFonts w:eastAsia="Times New Roman" w:cstheme="minorHAnsi"/>
          <w:iCs/>
          <w:sz w:val="24"/>
          <w:szCs w:val="24"/>
          <w:lang w:val="ru-RU"/>
        </w:rPr>
        <w:t xml:space="preserve">осигуряване на достъп до качествено 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здравеопазване; </w:t>
      </w:r>
    </w:p>
    <w:p w:rsidR="00991C59" w:rsidRDefault="00991C59" w:rsidP="008E5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>
        <w:rPr>
          <w:rFonts w:eastAsia="Times New Roman" w:cstheme="minorHAnsi"/>
          <w:iCs/>
          <w:sz w:val="24"/>
          <w:szCs w:val="24"/>
          <w:lang w:val="ru-RU"/>
        </w:rPr>
        <w:t>-</w:t>
      </w:r>
      <w:r>
        <w:rPr>
          <w:rFonts w:eastAsia="Times New Roman" w:cstheme="minorHAnsi"/>
          <w:sz w:val="24"/>
          <w:szCs w:val="24"/>
          <w:lang w:val="bg-BG"/>
        </w:rPr>
        <w:t> 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>принос към доброто управление и устойчиво икономическо развитие;</w:t>
      </w:r>
    </w:p>
    <w:p w:rsidR="0073165D" w:rsidRPr="00A76170" w:rsidRDefault="0073165D" w:rsidP="008E5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>
        <w:rPr>
          <w:rFonts w:eastAsia="Times New Roman" w:cstheme="minorHAnsi"/>
          <w:iCs/>
          <w:sz w:val="24"/>
          <w:szCs w:val="24"/>
          <w:lang w:val="ru-RU"/>
        </w:rPr>
        <w:t>- изграждане и укрепване на административния капацитет на образователни и здравни институции;</w:t>
      </w:r>
    </w:p>
    <w:p w:rsidR="00991C59" w:rsidRPr="00A76170" w:rsidRDefault="00991C59" w:rsidP="008E5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iCs/>
          <w:sz w:val="24"/>
          <w:szCs w:val="24"/>
          <w:lang w:val="ru-RU"/>
        </w:rPr>
        <w:t>-</w:t>
      </w:r>
      <w:r>
        <w:rPr>
          <w:rFonts w:eastAsia="Times New Roman" w:cstheme="minorHAnsi"/>
          <w:sz w:val="24"/>
          <w:szCs w:val="24"/>
          <w:lang w:val="bg-BG"/>
        </w:rPr>
        <w:t> 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повишаване качеството на живот. 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EC6573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A01622" w:rsidRDefault="003D6175" w:rsidP="002804EF">
      <w:pPr>
        <w:pStyle w:val="ListParagraph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8" w:right="46" w:hanging="288"/>
        <w:jc w:val="both"/>
        <w:rPr>
          <w:rFonts w:asciiTheme="minorHAnsi" w:hAnsiTheme="minorHAnsi" w:cstheme="minorHAnsi"/>
          <w:iCs/>
          <w:lang w:val="bg-BG"/>
        </w:rPr>
      </w:pPr>
      <w:r w:rsidRPr="00A01622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A01622">
        <w:rPr>
          <w:rFonts w:asciiTheme="minorHAnsi" w:hAnsiTheme="minorHAnsi" w:cstheme="minorHAnsi"/>
          <w:iCs/>
          <w:lang w:val="bg-BG"/>
        </w:rPr>
        <w:t xml:space="preserve">- </w:t>
      </w:r>
      <w:r w:rsidRPr="00A01622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A01622" w:rsidRPr="00A01622">
        <w:rPr>
          <w:rFonts w:asciiTheme="minorHAnsi" w:hAnsiTheme="minorHAnsi" w:cstheme="minorHAnsi"/>
          <w:b/>
          <w:iCs/>
          <w:lang w:val="bg-BG"/>
        </w:rPr>
        <w:t>4</w:t>
      </w:r>
      <w:r w:rsidR="00284CD0" w:rsidRPr="00A01622">
        <w:rPr>
          <w:rFonts w:asciiTheme="minorHAnsi" w:hAnsiTheme="minorHAnsi" w:cstheme="minorHAnsi"/>
          <w:b/>
          <w:iCs/>
          <w:lang w:val="bg-BG"/>
        </w:rPr>
        <w:t>0</w:t>
      </w:r>
      <w:r w:rsidR="001F5968" w:rsidRPr="00A01622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A01622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0556DF" w:rsidRPr="00A01622" w:rsidRDefault="003D6175" w:rsidP="002804EF">
      <w:pPr>
        <w:pStyle w:val="ListParagraph"/>
        <w:numPr>
          <w:ilvl w:val="0"/>
          <w:numId w:val="11"/>
        </w:numPr>
        <w:shd w:val="clear" w:color="auto" w:fill="FFFFFF"/>
        <w:spacing w:after="120" w:afterAutospacing="0"/>
        <w:ind w:left="288" w:right="43" w:hanging="288"/>
        <w:jc w:val="both"/>
        <w:rPr>
          <w:rFonts w:asciiTheme="minorHAnsi" w:hAnsiTheme="minorHAnsi" w:cstheme="minorHAnsi"/>
          <w:iCs/>
          <w:lang w:val="bg-BG"/>
        </w:rPr>
      </w:pPr>
      <w:r w:rsidRPr="00A01622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A01622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A01622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A01622">
        <w:rPr>
          <w:rFonts w:asciiTheme="minorHAnsi" w:hAnsiTheme="minorHAnsi" w:cstheme="minorHAnsi"/>
          <w:iCs/>
          <w:lang w:val="bg-BG"/>
        </w:rPr>
        <w:t xml:space="preserve">- </w:t>
      </w:r>
      <w:r w:rsidRPr="00A01622">
        <w:rPr>
          <w:rFonts w:asciiTheme="minorHAnsi" w:hAnsiTheme="minorHAnsi" w:cstheme="minorHAnsi"/>
          <w:iCs/>
          <w:lang w:val="bg-BG"/>
        </w:rPr>
        <w:t xml:space="preserve">до </w:t>
      </w:r>
      <w:r w:rsidR="00A01622" w:rsidRPr="00A01622">
        <w:rPr>
          <w:rFonts w:asciiTheme="minorHAnsi" w:hAnsiTheme="minorHAnsi" w:cstheme="minorHAnsi"/>
          <w:b/>
          <w:color w:val="212121"/>
          <w:lang w:val="bg-BG"/>
        </w:rPr>
        <w:t>4</w:t>
      </w:r>
      <w:r w:rsidR="0091450D" w:rsidRPr="00A01622">
        <w:rPr>
          <w:rFonts w:asciiTheme="minorHAnsi" w:hAnsiTheme="minorHAnsi" w:cstheme="minorHAnsi"/>
          <w:b/>
          <w:color w:val="212121"/>
          <w:lang w:val="bg-BG"/>
        </w:rPr>
        <w:t>0</w:t>
      </w:r>
      <w:r w:rsidR="0091450D" w:rsidRPr="00A01622">
        <w:rPr>
          <w:rFonts w:asciiTheme="minorHAnsi" w:hAnsiTheme="minorHAnsi" w:cstheme="minorHAnsi"/>
          <w:b/>
          <w:color w:val="212121"/>
        </w:rPr>
        <w:t> </w:t>
      </w:r>
      <w:r w:rsidR="0091450D" w:rsidRPr="00A01622">
        <w:rPr>
          <w:rFonts w:asciiTheme="minorHAnsi" w:hAnsiTheme="minorHAnsi" w:cstheme="minorHAnsi"/>
          <w:b/>
          <w:color w:val="212121"/>
          <w:lang w:val="bg-BG"/>
        </w:rPr>
        <w:t xml:space="preserve">000 </w:t>
      </w:r>
      <w:r w:rsidRPr="00A01622">
        <w:rPr>
          <w:rFonts w:asciiTheme="minorHAnsi" w:hAnsiTheme="minorHAnsi" w:cstheme="minorHAnsi"/>
          <w:b/>
          <w:iCs/>
          <w:lang w:val="bg-BG"/>
        </w:rPr>
        <w:t>лв.</w:t>
      </w:r>
    </w:p>
    <w:p w:rsidR="000556DF" w:rsidRPr="00EC6573" w:rsidRDefault="00B8180A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>
        <w:rPr>
          <w:rFonts w:asciiTheme="minorHAnsi" w:hAnsiTheme="minorHAnsi" w:cstheme="minorHAnsi"/>
          <w:lang w:val="bg-BG"/>
        </w:rPr>
        <w:t>за проекти, чи</w:t>
      </w:r>
      <w:r w:rsidR="00385BAF">
        <w:rPr>
          <w:rFonts w:asciiTheme="minorHAnsi" w:hAnsiTheme="minorHAnsi" w:cstheme="minorHAnsi"/>
          <w:lang w:val="bg-BG"/>
        </w:rPr>
        <w:t>ято основна цел е</w:t>
      </w:r>
      <w:r>
        <w:rPr>
          <w:rFonts w:asciiTheme="minorHAnsi" w:hAnsiTheme="minorHAnsi" w:cstheme="minorHAnsi"/>
          <w:lang w:val="bg-BG"/>
        </w:rPr>
        <w:t xml:space="preserve"> изпълнение са</w:t>
      </w:r>
      <w:r w:rsidR="000556DF" w:rsidRPr="00EC6573">
        <w:rPr>
          <w:rFonts w:asciiTheme="minorHAnsi" w:hAnsiTheme="minorHAnsi" w:cstheme="minorHAnsi"/>
          <w:lang w:val="bg-BG"/>
        </w:rPr>
        <w:t xml:space="preserve"> т.нар. </w:t>
      </w:r>
      <w:r w:rsidR="000556DF" w:rsidRPr="00EC6573">
        <w:rPr>
          <w:rFonts w:asciiTheme="minorHAnsi" w:hAnsiTheme="minorHAnsi" w:cstheme="minorHAnsi"/>
          <w:b/>
          <w:lang w:val="bg-BG"/>
        </w:rPr>
        <w:t>меки компоненти на ОПР</w:t>
      </w:r>
      <w:r w:rsidR="000556DF" w:rsidRPr="00EC6573">
        <w:rPr>
          <w:rFonts w:asciiTheme="minorHAnsi" w:hAnsiTheme="minorHAnsi" w:cstheme="minorHAnsi"/>
          <w:lang w:val="bg-BG"/>
        </w:rPr>
        <w:t xml:space="preserve"> /конференции, семинари, колоквиуми</w:t>
      </w:r>
      <w:r w:rsidR="00EC6573">
        <w:rPr>
          <w:rFonts w:asciiTheme="minorHAnsi" w:hAnsiTheme="minorHAnsi" w:cstheme="minorHAnsi"/>
          <w:lang w:val="bg-BG"/>
        </w:rPr>
        <w:t>, творчески ателиета</w:t>
      </w:r>
      <w:r w:rsidR="000556DF" w:rsidRPr="00EC6573">
        <w:rPr>
          <w:rFonts w:asciiTheme="minorHAnsi" w:hAnsiTheme="minorHAnsi" w:cstheme="minorHAnsi"/>
          <w:lang w:val="bg-BG"/>
        </w:rPr>
        <w:t xml:space="preserve"> и др./, 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размерът на помощта не може да надвишава </w:t>
      </w:r>
      <w:r w:rsidR="00EC6573">
        <w:rPr>
          <w:rFonts w:asciiTheme="minorHAnsi" w:hAnsiTheme="minorHAnsi" w:cstheme="minorHAnsi"/>
          <w:b/>
          <w:lang w:val="bg-BG"/>
        </w:rPr>
        <w:t>3</w:t>
      </w:r>
      <w:r w:rsidR="000556DF" w:rsidRPr="00EC6573">
        <w:rPr>
          <w:rFonts w:asciiTheme="minorHAnsi" w:hAnsiTheme="minorHAnsi" w:cstheme="minorHAnsi"/>
          <w:b/>
          <w:lang w:val="bg-BG"/>
        </w:rPr>
        <w:t>0</w:t>
      </w:r>
      <w:r w:rsidR="000556DF" w:rsidRPr="000556DF">
        <w:rPr>
          <w:rFonts w:asciiTheme="minorHAnsi" w:hAnsiTheme="minorHAnsi" w:cstheme="minorHAnsi"/>
          <w:b/>
        </w:rPr>
        <w:t> 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000 лв., както и срокът за изпълнение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не се допуска да бъде над 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9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месеца.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C00B2E">
      <w:pPr>
        <w:shd w:val="clear" w:color="auto" w:fill="FFFFFF"/>
        <w:spacing w:before="120"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C00B2E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C00B2E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:rsidR="00EC6573" w:rsidRPr="00B40895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C00B2E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EC6573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>
        <w:rPr>
          <w:rFonts w:cstheme="minorHAnsi"/>
          <w:color w:val="212121"/>
          <w:sz w:val="24"/>
          <w:szCs w:val="24"/>
          <w:lang w:val="bg-BG"/>
        </w:rPr>
        <w:t>Приоритетни:</w:t>
      </w:r>
    </w:p>
    <w:p w:rsidR="00C224A8" w:rsidRPr="00B12C2A" w:rsidRDefault="003D6175" w:rsidP="003F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B12C2A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B12C2A">
        <w:rPr>
          <w:rFonts w:cstheme="minorHAnsi"/>
          <w:color w:val="212121"/>
          <w:sz w:val="24"/>
          <w:szCs w:val="24"/>
          <w:lang w:val="bg-BG"/>
        </w:rPr>
        <w:t xml:space="preserve">на </w:t>
      </w:r>
      <w:r w:rsidR="003F0908">
        <w:rPr>
          <w:rFonts w:cstheme="minorHAnsi"/>
          <w:color w:val="212121"/>
          <w:sz w:val="24"/>
          <w:szCs w:val="24"/>
          <w:lang w:val="ru-RU"/>
        </w:rPr>
        <w:t>Тунис</w:t>
      </w:r>
      <w:r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C00B2E" w:rsidRPr="00C00B2E" w:rsidRDefault="00C00B2E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C00B2E">
        <w:rPr>
          <w:rFonts w:cstheme="minorHAnsi"/>
          <w:color w:val="212121"/>
          <w:sz w:val="24"/>
          <w:szCs w:val="24"/>
          <w:lang w:val="bg-BG"/>
        </w:rPr>
        <w:t>Международни и местни неправителствени организации;</w:t>
      </w:r>
    </w:p>
    <w:p w:rsidR="00351785" w:rsidRPr="00B12C2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B12C2A">
        <w:rPr>
          <w:rFonts w:cstheme="minorHAnsi"/>
          <w:color w:val="212121"/>
          <w:sz w:val="24"/>
          <w:szCs w:val="24"/>
          <w:lang w:val="bg-BG"/>
        </w:rPr>
        <w:t>;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814F03" w:rsidRDefault="000B48F1" w:rsidP="003F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ародни хуманитарни организации</w:t>
      </w:r>
      <w:r w:rsidR="00C00B2E">
        <w:rPr>
          <w:rFonts w:cstheme="minorHAnsi"/>
          <w:color w:val="212121"/>
          <w:sz w:val="24"/>
          <w:szCs w:val="24"/>
          <w:lang w:val="bg-BG"/>
        </w:rPr>
        <w:t>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077D35" w:rsidRDefault="00077D35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077D35" w:rsidRDefault="00077D35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B40895" w:rsidRDefault="00D351BD" w:rsidP="00E0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lastRenderedPageBreak/>
        <w:t>Недопустими кандидати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</w:t>
      </w:r>
      <w:r w:rsidR="000A667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D351BD" w:rsidRPr="00814F03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</w:t>
      </w:r>
      <w:r>
        <w:rPr>
          <w:rFonts w:asciiTheme="minorHAnsi" w:hAnsiTheme="minorHAnsi" w:cstheme="minorHAnsi"/>
          <w:lang w:val="bg-BG"/>
        </w:rPr>
        <w:t>ие</w:t>
      </w:r>
      <w:r w:rsidR="00814F03">
        <w:rPr>
          <w:rFonts w:asciiTheme="minorHAnsi" w:hAnsiTheme="minorHAnsi" w:cstheme="minorHAnsi"/>
          <w:lang w:val="bg-BG"/>
        </w:rPr>
        <w:t xml:space="preserve"> /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814F03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 по-долу/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Бенефициенти, чийто проект/ти от предходни години не</w:t>
      </w:r>
      <w:r w:rsidRPr="00EC6573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lang w:val="bg-BG"/>
        </w:rPr>
        <w:t>/ не</w:t>
      </w:r>
      <w:r w:rsidRPr="00B17821">
        <w:rPr>
          <w:rFonts w:asciiTheme="minorHAnsi" w:hAnsiTheme="minorHAnsi" w:cstheme="minorHAnsi"/>
          <w:lang w:val="bg-BG"/>
        </w:rPr>
        <w:t xml:space="preserve"> са успешно завършени в срока на договора/анекса и без приети от МВнР финални отчети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които не са представили междинни отчети по проекти от предходни години </w:t>
      </w:r>
      <w:r>
        <w:rPr>
          <w:rFonts w:asciiTheme="minorHAnsi" w:hAnsiTheme="minorHAnsi" w:cstheme="minorHAnsi"/>
          <w:lang w:val="bg-BG"/>
        </w:rPr>
        <w:t>в срока на договора/анекса.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</w:t>
      </w:r>
      <w:r>
        <w:rPr>
          <w:rFonts w:asciiTheme="minorHAnsi" w:hAnsiTheme="minorHAnsi" w:cstheme="minorHAnsi"/>
          <w:lang w:val="bg-BG"/>
        </w:rPr>
        <w:t>а за сътрудничество за развитие.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2844B4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2844B4" w:rsidRPr="002844B4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2844B4">
        <w:rPr>
          <w:rFonts w:asciiTheme="minorHAnsi" w:hAnsiTheme="minorHAnsi" w:cstheme="minorHAnsi"/>
          <w:lang w:val="bg-BG"/>
        </w:rPr>
        <w:t>Кандидати</w:t>
      </w:r>
      <w:r>
        <w:rPr>
          <w:rFonts w:asciiTheme="minorHAnsi" w:hAnsiTheme="minorHAnsi" w:cstheme="minorHAnsi"/>
          <w:lang w:val="bg-BG"/>
        </w:rPr>
        <w:t>,</w:t>
      </w:r>
      <w:r w:rsidRPr="002844B4">
        <w:rPr>
          <w:rFonts w:asciiTheme="minorHAnsi" w:hAnsiTheme="minorHAnsi" w:cstheme="minorHAnsi"/>
          <w:lang w:val="bg-BG"/>
        </w:rPr>
        <w:t xml:space="preserve"> които са получили авансово финансиране в края на 2022 г. и с продължаващо изпълнение на проекта през 2024 г.,</w:t>
      </w:r>
      <w:r>
        <w:rPr>
          <w:rFonts w:asciiTheme="minorHAnsi" w:hAnsiTheme="minorHAnsi" w:cstheme="minorHAnsi"/>
          <w:lang w:val="bg-BG"/>
        </w:rPr>
        <w:t xml:space="preserve">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D351BD" w:rsidRPr="00EC6573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C657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EC6573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:rsidR="005C31C2" w:rsidRPr="006435CC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lastRenderedPageBreak/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Pr="00B40895" w:rsidRDefault="005C31C2" w:rsidP="00B573DB">
      <w:pPr>
        <w:pStyle w:val="ListParagraph"/>
        <w:numPr>
          <w:ilvl w:val="0"/>
          <w:numId w:val="25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:rsidR="005D038D" w:rsidRPr="00837C58" w:rsidRDefault="005D038D" w:rsidP="00B573DB">
      <w:pPr>
        <w:shd w:val="clear" w:color="auto" w:fill="FFFFFF"/>
        <w:spacing w:before="240" w:after="12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573DB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EC6573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EC6573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9D4167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6D739F" w:rsidRPr="00351775" w:rsidRDefault="00476934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351775" w:rsidRPr="008853E2" w:rsidRDefault="00351775" w:rsidP="009D4167">
      <w:pPr>
        <w:pStyle w:val="ListParagraph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EC6573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>
        <w:rPr>
          <w:rFonts w:asciiTheme="minorHAnsi" w:hAnsiTheme="minorHAnsi" w:cstheme="minorHAnsi"/>
          <w:b/>
          <w:u w:val="single"/>
          <w:lang w:val="bg-BG"/>
        </w:rPr>
        <w:t>“</w:t>
      </w:r>
    </w:p>
    <w:p w:rsidR="008853E2" w:rsidRPr="008853E2" w:rsidRDefault="008853E2" w:rsidP="008853E2">
      <w:pPr>
        <w:shd w:val="clear" w:color="auto" w:fill="FFFFFF"/>
        <w:spacing w:after="150"/>
        <w:jc w:val="both"/>
        <w:rPr>
          <w:rFonts w:cstheme="minorHAnsi"/>
          <w:lang w:val="bg-BG"/>
        </w:rPr>
      </w:pP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9D416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9D416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9D416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EC6573" w:rsidRDefault="00C6334B" w:rsidP="009D416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:rsidR="00B17821" w:rsidRPr="00B17821" w:rsidRDefault="00476934" w:rsidP="009D416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EC6573" w:rsidRDefault="00476934" w:rsidP="009D416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EC6573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:rsidR="00476934" w:rsidRPr="00B17821" w:rsidRDefault="00B17821" w:rsidP="009D416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25580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проектното предложение, Посолството на Република България в </w:t>
      </w:r>
      <w:r w:rsidR="00255805">
        <w:rPr>
          <w:rFonts w:cstheme="minorHAnsi"/>
          <w:color w:val="212121"/>
          <w:lang w:val="ru-RU"/>
        </w:rPr>
        <w:t>Тунис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EC6573" w:rsidRDefault="00EC657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061B4" w:rsidRPr="0036757D" w:rsidRDefault="003061B4" w:rsidP="00A0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Cs/>
          <w:color w:val="212121"/>
          <w:sz w:val="24"/>
          <w:szCs w:val="24"/>
          <w:u w:val="single"/>
          <w:lang w:val="bg-BG"/>
        </w:rPr>
      </w:pP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Крайният срок за набиране на предложения е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3</w:t>
      </w:r>
      <w:r w:rsidR="00A01622" w:rsidRPr="00A0162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ru-RU"/>
        </w:rPr>
        <w:t>1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</w:t>
      </w:r>
      <w:r w:rsidR="00A0162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юли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202</w:t>
      </w:r>
      <w:r w:rsidR="00A0162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4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на електронния адрес на посолството: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</w:rPr>
        <w:t> </w:t>
      </w:r>
      <w:hyperlink r:id="rId10" w:history="1"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Embassy</w:t>
        </w:r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Tunis</w:t>
        </w:r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@</w:t>
        </w:r>
        <w:proofErr w:type="spellStart"/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mfa</w:t>
        </w:r>
        <w:proofErr w:type="spellEnd"/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proofErr w:type="spellStart"/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bg</w:t>
        </w:r>
        <w:proofErr w:type="spellEnd"/>
      </w:hyperlink>
      <w:r w:rsidRPr="0036757D">
        <w:rPr>
          <w:rFonts w:eastAsia="Times New Roman" w:cstheme="minorHAnsi"/>
          <w:bCs/>
          <w:iCs/>
          <w:color w:val="212121"/>
          <w:sz w:val="24"/>
          <w:szCs w:val="24"/>
          <w:u w:val="single"/>
          <w:lang w:val="bg-BG"/>
        </w:rPr>
        <w:t xml:space="preserve"> </w:t>
      </w:r>
    </w:p>
    <w:p w:rsidR="005C594D" w:rsidRPr="00837C58" w:rsidRDefault="003061B4" w:rsidP="00306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 xml:space="preserve">Документите трябва да бъдат изпратени във формат 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</w:rPr>
        <w:t>word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 xml:space="preserve"> и сканирани във формат 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</w:rPr>
        <w:t>pdf</w:t>
      </w: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42188D" w:rsidRPr="00C6334B" w:rsidRDefault="0042188D" w:rsidP="009D416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9D4167">
      <w:pPr>
        <w:pStyle w:val="ListParagraph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9D4167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9D416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Default="00D351BD" w:rsidP="009D416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% от размера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40%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9D416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но не повече от 10%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9D416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7062B5" w:rsidRDefault="003667E0" w:rsidP="00146B1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146B1E">
        <w:rPr>
          <w:rFonts w:eastAsia="Times New Roman" w:cstheme="minorHAnsi"/>
          <w:color w:val="212121"/>
          <w:sz w:val="24"/>
          <w:szCs w:val="24"/>
          <w:lang w:val="bg-BG"/>
        </w:rPr>
        <w:t>Тунис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7062B5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9D4167" w:rsidRPr="00DE541A" w:rsidRDefault="009D4167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Приложение 1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bookmarkStart w:id="0" w:name="_GoBack"/>
      <w:bookmarkEnd w:id="0"/>
      <w:r>
        <w:rPr>
          <w:b/>
          <w:sz w:val="24"/>
          <w:szCs w:val="24"/>
          <w:lang w:val="bg-BG"/>
        </w:rPr>
        <w:t>Чл.23</w:t>
      </w:r>
      <w:r>
        <w:rPr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) </w:t>
      </w:r>
      <w:r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lastRenderedPageBreak/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(7) </w:t>
      </w:r>
      <w:r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>
        <w:rPr>
          <w:rFonts w:cstheme="minorHAnsi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077D35">
      <w:footerReference w:type="default" r:id="rId11"/>
      <w:pgSz w:w="12240" w:h="15840"/>
      <w:pgMar w:top="1170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87" w:rsidRDefault="00D52C87" w:rsidP="003E46F1">
      <w:pPr>
        <w:spacing w:after="0" w:line="240" w:lineRule="auto"/>
      </w:pPr>
      <w:r>
        <w:separator/>
      </w:r>
    </w:p>
  </w:endnote>
  <w:endnote w:type="continuationSeparator" w:id="0">
    <w:p w:rsidR="00D52C87" w:rsidRDefault="00D52C87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16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87" w:rsidRDefault="00D52C87" w:rsidP="003E46F1">
      <w:pPr>
        <w:spacing w:after="0" w:line="240" w:lineRule="auto"/>
      </w:pPr>
      <w:r>
        <w:separator/>
      </w:r>
    </w:p>
  </w:footnote>
  <w:footnote w:type="continuationSeparator" w:id="0">
    <w:p w:rsidR="00D52C87" w:rsidRDefault="00D52C87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2"/>
  </w:num>
  <w:num w:numId="4">
    <w:abstractNumId w:val="23"/>
  </w:num>
  <w:num w:numId="5">
    <w:abstractNumId w:val="22"/>
  </w:num>
  <w:num w:numId="6">
    <w:abstractNumId w:val="24"/>
  </w:num>
  <w:num w:numId="7">
    <w:abstractNumId w:val="25"/>
  </w:num>
  <w:num w:numId="8">
    <w:abstractNumId w:val="18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29"/>
  </w:num>
  <w:num w:numId="20">
    <w:abstractNumId w:val="27"/>
  </w:num>
  <w:num w:numId="21">
    <w:abstractNumId w:val="30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556DF"/>
    <w:rsid w:val="00056C1B"/>
    <w:rsid w:val="00067A16"/>
    <w:rsid w:val="000764FB"/>
    <w:rsid w:val="00076984"/>
    <w:rsid w:val="000778B3"/>
    <w:rsid w:val="00077D35"/>
    <w:rsid w:val="00083CDC"/>
    <w:rsid w:val="000864E7"/>
    <w:rsid w:val="00090364"/>
    <w:rsid w:val="00091196"/>
    <w:rsid w:val="000A063C"/>
    <w:rsid w:val="000A07B5"/>
    <w:rsid w:val="000A6672"/>
    <w:rsid w:val="000B48F1"/>
    <w:rsid w:val="000D69C2"/>
    <w:rsid w:val="000D6E7C"/>
    <w:rsid w:val="000E497B"/>
    <w:rsid w:val="000F54B6"/>
    <w:rsid w:val="0012296E"/>
    <w:rsid w:val="001302CC"/>
    <w:rsid w:val="0013609B"/>
    <w:rsid w:val="001445D1"/>
    <w:rsid w:val="00146B1E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17A3A"/>
    <w:rsid w:val="00220D70"/>
    <w:rsid w:val="002228F8"/>
    <w:rsid w:val="00222C05"/>
    <w:rsid w:val="002310AA"/>
    <w:rsid w:val="00235E78"/>
    <w:rsid w:val="00255805"/>
    <w:rsid w:val="00265E72"/>
    <w:rsid w:val="0026733B"/>
    <w:rsid w:val="00271C40"/>
    <w:rsid w:val="002804EF"/>
    <w:rsid w:val="00280A15"/>
    <w:rsid w:val="00281A59"/>
    <w:rsid w:val="002844B4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061B4"/>
    <w:rsid w:val="00326EB3"/>
    <w:rsid w:val="00327425"/>
    <w:rsid w:val="00331EE8"/>
    <w:rsid w:val="00335184"/>
    <w:rsid w:val="00342F15"/>
    <w:rsid w:val="00351775"/>
    <w:rsid w:val="00351785"/>
    <w:rsid w:val="00351F71"/>
    <w:rsid w:val="003667E0"/>
    <w:rsid w:val="00374D85"/>
    <w:rsid w:val="00385BAF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3F0908"/>
    <w:rsid w:val="00403339"/>
    <w:rsid w:val="00403775"/>
    <w:rsid w:val="0041066A"/>
    <w:rsid w:val="0041406E"/>
    <w:rsid w:val="004157E9"/>
    <w:rsid w:val="00417181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2C2A"/>
    <w:rsid w:val="00550F2B"/>
    <w:rsid w:val="00561D46"/>
    <w:rsid w:val="00563038"/>
    <w:rsid w:val="00563962"/>
    <w:rsid w:val="00563B01"/>
    <w:rsid w:val="00564F40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C7547"/>
    <w:rsid w:val="005D038D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3523"/>
    <w:rsid w:val="006E455A"/>
    <w:rsid w:val="006E6586"/>
    <w:rsid w:val="006F3AAA"/>
    <w:rsid w:val="0070122E"/>
    <w:rsid w:val="00705933"/>
    <w:rsid w:val="007062B5"/>
    <w:rsid w:val="0071166B"/>
    <w:rsid w:val="007239F8"/>
    <w:rsid w:val="007314D5"/>
    <w:rsid w:val="0073165D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0B5C"/>
    <w:rsid w:val="007E4483"/>
    <w:rsid w:val="007F2D8C"/>
    <w:rsid w:val="007F77C3"/>
    <w:rsid w:val="008070D7"/>
    <w:rsid w:val="00814F03"/>
    <w:rsid w:val="00816405"/>
    <w:rsid w:val="00822280"/>
    <w:rsid w:val="00823966"/>
    <w:rsid w:val="0082498D"/>
    <w:rsid w:val="00837C58"/>
    <w:rsid w:val="00847D27"/>
    <w:rsid w:val="008567B8"/>
    <w:rsid w:val="00864CD3"/>
    <w:rsid w:val="0086609E"/>
    <w:rsid w:val="00872A85"/>
    <w:rsid w:val="008853E2"/>
    <w:rsid w:val="00896D8E"/>
    <w:rsid w:val="008975A0"/>
    <w:rsid w:val="008A060A"/>
    <w:rsid w:val="008B31BC"/>
    <w:rsid w:val="008B6F1C"/>
    <w:rsid w:val="008E1374"/>
    <w:rsid w:val="008E5D52"/>
    <w:rsid w:val="0091200B"/>
    <w:rsid w:val="0091450D"/>
    <w:rsid w:val="00917E9C"/>
    <w:rsid w:val="009536E2"/>
    <w:rsid w:val="00953829"/>
    <w:rsid w:val="00956173"/>
    <w:rsid w:val="0097308E"/>
    <w:rsid w:val="00973678"/>
    <w:rsid w:val="00975BA8"/>
    <w:rsid w:val="00990DF4"/>
    <w:rsid w:val="00991C59"/>
    <w:rsid w:val="0099314B"/>
    <w:rsid w:val="00994907"/>
    <w:rsid w:val="009A1F77"/>
    <w:rsid w:val="009A446A"/>
    <w:rsid w:val="009B327C"/>
    <w:rsid w:val="009C0135"/>
    <w:rsid w:val="009C1DD8"/>
    <w:rsid w:val="009C3EE1"/>
    <w:rsid w:val="009D4167"/>
    <w:rsid w:val="009F1DF5"/>
    <w:rsid w:val="009F2551"/>
    <w:rsid w:val="009F2B56"/>
    <w:rsid w:val="00A01622"/>
    <w:rsid w:val="00A04C0D"/>
    <w:rsid w:val="00A14F41"/>
    <w:rsid w:val="00A200EF"/>
    <w:rsid w:val="00A406B2"/>
    <w:rsid w:val="00A51EFA"/>
    <w:rsid w:val="00A60EFF"/>
    <w:rsid w:val="00A618A4"/>
    <w:rsid w:val="00A65E1E"/>
    <w:rsid w:val="00A75138"/>
    <w:rsid w:val="00A8795C"/>
    <w:rsid w:val="00AB4C5F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573DB"/>
    <w:rsid w:val="00B74081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005D6"/>
    <w:rsid w:val="00C00B2E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C2C58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C87"/>
    <w:rsid w:val="00D52FEE"/>
    <w:rsid w:val="00D63F24"/>
    <w:rsid w:val="00D647D7"/>
    <w:rsid w:val="00D66A15"/>
    <w:rsid w:val="00D744CA"/>
    <w:rsid w:val="00D9501B"/>
    <w:rsid w:val="00DA323F"/>
    <w:rsid w:val="00DA3B03"/>
    <w:rsid w:val="00DC0ACF"/>
    <w:rsid w:val="00DE3405"/>
    <w:rsid w:val="00DE541A"/>
    <w:rsid w:val="00DF15D2"/>
    <w:rsid w:val="00E03127"/>
    <w:rsid w:val="00E07C40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05AB"/>
    <w:rsid w:val="00E81F02"/>
    <w:rsid w:val="00E859F6"/>
    <w:rsid w:val="00E96C5C"/>
    <w:rsid w:val="00EA0EB6"/>
    <w:rsid w:val="00EB251F"/>
    <w:rsid w:val="00EB5DE7"/>
    <w:rsid w:val="00EC3CFC"/>
    <w:rsid w:val="00EC6573"/>
    <w:rsid w:val="00EC777C"/>
    <w:rsid w:val="00EE0328"/>
    <w:rsid w:val="00EE7BB1"/>
    <w:rsid w:val="00EF49F0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3921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2089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41B9"/>
  <w15:docId w15:val="{E9D11F71-8496-4C20-B1FF-FCC3A9B5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Tunis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94EABFE-53DB-43BF-8BA7-B422260F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2552</Words>
  <Characters>14550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18</cp:revision>
  <cp:lastPrinted>2023-03-17T10:29:00Z</cp:lastPrinted>
  <dcterms:created xsi:type="dcterms:W3CDTF">2024-06-10T09:52:00Z</dcterms:created>
  <dcterms:modified xsi:type="dcterms:W3CDTF">2024-06-10T10:14:00Z</dcterms:modified>
</cp:coreProperties>
</file>